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9A1" w:rsidRDefault="00EE29A1" w:rsidP="00EE29A1">
      <w:pPr>
        <w:jc w:val="center"/>
        <w:rPr>
          <w:rFonts w:ascii="宋体" w:eastAsia="宋体" w:hAnsi="宋体"/>
          <w:b/>
          <w:sz w:val="36"/>
          <w:szCs w:val="44"/>
        </w:rPr>
      </w:pPr>
      <w:r w:rsidRPr="00EE29A1">
        <w:rPr>
          <w:rFonts w:ascii="宋体" w:eastAsia="宋体" w:hAnsi="宋体" w:hint="eastAsia"/>
          <w:b/>
          <w:sz w:val="36"/>
          <w:szCs w:val="44"/>
        </w:rPr>
        <w:t>多功能监护仪</w:t>
      </w:r>
      <w:r w:rsidR="007927C5">
        <w:rPr>
          <w:rFonts w:ascii="宋体" w:eastAsia="宋体" w:hAnsi="宋体" w:hint="eastAsia"/>
          <w:b/>
          <w:sz w:val="36"/>
          <w:szCs w:val="44"/>
        </w:rPr>
        <w:t>设备</w:t>
      </w:r>
      <w:r w:rsidR="007927C5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5E2A22" w:rsidRPr="00EE29A1" w:rsidRDefault="00EE29A1" w:rsidP="00EE29A1">
      <w:pPr>
        <w:rPr>
          <w:rFonts w:ascii="宋体" w:eastAsia="宋体" w:hAnsi="宋体" w:hint="eastAsia"/>
          <w:b/>
          <w:sz w:val="36"/>
          <w:szCs w:val="44"/>
        </w:rPr>
      </w:pPr>
      <w:r>
        <w:rPr>
          <w:rFonts w:ascii="宋体" w:eastAsia="宋体" w:hAnsi="宋体" w:hint="eastAsia"/>
          <w:b/>
          <w:sz w:val="36"/>
          <w:szCs w:val="44"/>
        </w:rPr>
        <w:t>（</w:t>
      </w:r>
      <w:r w:rsidRPr="0019798B">
        <w:rPr>
          <w:rFonts w:ascii="宋体" w:eastAsia="宋体" w:hAnsi="宋体" w:hint="eastAsia"/>
          <w:b/>
          <w:sz w:val="36"/>
          <w:szCs w:val="44"/>
        </w:rPr>
        <w:t>拟采购数量1</w:t>
      </w:r>
      <w:r>
        <w:rPr>
          <w:rFonts w:ascii="宋体" w:eastAsia="宋体" w:hAnsi="宋体"/>
          <w:b/>
          <w:sz w:val="36"/>
          <w:szCs w:val="44"/>
        </w:rPr>
        <w:t>4</w:t>
      </w:r>
      <w:r w:rsidRPr="0019798B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9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 w:rsidRPr="003D3F0E">
        <w:rPr>
          <w:rFonts w:ascii="宋体" w:eastAsia="宋体" w:hAnsi="宋体" w:hint="eastAsia"/>
          <w:b/>
          <w:sz w:val="36"/>
          <w:szCs w:val="44"/>
        </w:rPr>
        <w:t>/台，</w:t>
      </w:r>
      <w:r w:rsidRPr="0019798B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126</w:t>
      </w:r>
      <w:r w:rsidRPr="0019798B">
        <w:rPr>
          <w:rFonts w:ascii="宋体" w:eastAsia="宋体" w:hAnsi="宋体" w:hint="eastAsia"/>
          <w:b/>
          <w:sz w:val="36"/>
          <w:szCs w:val="44"/>
        </w:rPr>
        <w:t>万元</w:t>
      </w:r>
      <w:r>
        <w:rPr>
          <w:rFonts w:ascii="宋体" w:eastAsia="宋体" w:hAnsi="宋体" w:hint="eastAsia"/>
          <w:b/>
          <w:sz w:val="36"/>
          <w:szCs w:val="44"/>
        </w:rPr>
        <w:t>）</w:t>
      </w:r>
    </w:p>
    <w:p w:rsidR="005E2A22" w:rsidRDefault="007927C5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5E2A22">
        <w:tc>
          <w:tcPr>
            <w:tcW w:w="599" w:type="pct"/>
            <w:vAlign w:val="center"/>
          </w:tcPr>
          <w:p w:rsidR="005E2A22" w:rsidRDefault="00EE29A1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EE29A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多功能监护仪（拟采购数量14台，单价9万元/台，总价126万元）</w:t>
            </w:r>
          </w:p>
        </w:tc>
        <w:tc>
          <w:tcPr>
            <w:tcW w:w="4400" w:type="pct"/>
          </w:tcPr>
          <w:p w:rsidR="005E2A22" w:rsidRDefault="007927C5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1.产品为适用于手术室、ICU、CCU病房监护及床边监护的插件式监护仪，通过国家III类注册，具备CE认证；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2.产品设计使用年限≥10年；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3.模块化插件式床边监护仪，主机、显示屏和插件槽一体化设计，主机插槽数≥4个；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4.≥12.1英寸LED高清液晶显示屏，屏幕为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电容屏非电阻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屏，分辨率为1280×800像素；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5.具有智能光感器，自动调节屏幕亮度，屏幕支持手势滑动操作，可快速切换界面，并支持穿戴医用防护手套操作；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6.▲多参数监测模块支持升级为带屏幕的转运监测模块，支持机身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前后双屏同时无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遮挡显示与操作；（提供产品彩页证明）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7.转运监测模块屏幕尺寸≥5.5英寸，内置锂电池供电≥8小时；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8.可充电锂电池，持续供电≥4小时；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9.软键盘可支持中文手写、英文、拼音3种输入法；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10.配置≥4个USB接口，支持连接存储介质、鼠标、键盘、条码扫描枪等USB设备；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11.具备监护模式、演示模式、待机模式、夜间模式、体外循环模式、插管模式；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12.可监测心电、血氧、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脉博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、无创血压、呼吸、体温等基础参数，支持升级2IBP、ETCO2、CO、AG、ICG、麻醉深度等参数监测；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13.支持3/5/6/12导心电，具有智能导联脱落，多导同步分析功能；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14.具备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心拍类型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识别功能，可区分正常心拍、异常心拍、起搏心拍，根据心律失常分析结果在每个心拍上进行标注；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15.支持≥27种实时心律失常分析，可识别不规则节律停止和房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颤停止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并报警；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16.支持升级Glasgow12导心电静息分析算法，适用于成人、小儿和新生儿，可显示分析结果、存储报告以及打印报告；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17.具有QT/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测量功能，提供QT、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参数值， QT/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QTc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监护适用于成人、小儿和新生儿病人；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18.▲具有ST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段分析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和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STView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功能，可实时监测ST段，测量范围-2.5mV——+2.5mV；（提供产品检验报告或产品说明书证明）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19.心率测量范围、精度及分辨率：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a）范围：成人为15bpm～300bpm；小儿/新生儿为15bpm～350bpm；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b）精度：±1bpm或±1%；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c）分辨率：1bpm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20.▲具有强大的心电抗干扰能力，支持直流偏置电压≥±800mv，系统噪声≤25μv；（提供产品检验报告或产品说明书证明）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21.▲支持共模抑制能力＞106dB；（提供产品检验报告或产品说明书证明）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22.▲具有心率变异性分析功能，提供心率变异性相关参数显示，支持RR间期直方图、RR间期差值直方图、散点图、RR间期趋势图，用于评价心脏自主神经的活动性；（提供产品检验报告或产品说明书证明）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23.支持升级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Masimo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血氧，测量范围为1 ％ ～100％；在70％～100％范围内，成人/儿童测量精度为±2％（非运动状态下）、±3％（运动状态下），新生儿为±3％（非运动状态和运动状态下）；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24.▲血氧可显示弱灌注指数（PI），PI弱灌注指数范围：0.02-20%；（提供产品检验报告或产品说明书证明）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25.配置指套式血氧探头，支持浸泡清洁与消毒，防水等级IPx7；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26.无创血压适用于成人，小儿和新生儿；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27.无创血压提供手动、自动间隔、连续、序列、整点五种测量模式；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28.NIBP测量范围：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成人：收缩压25mmHg-290mmHg，舒张压10mmHg-250mmHg，平均压15mmHg-260mmHg；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小儿：收缩压25mmHg-240mmHg，舒张压10mmHg-200mmHg，平均压15mmHg-215mmHg；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新生儿：收缩压25mmHg-140mmHg，舒张压10mmHg-115mmHg，平均压15mmHg-125mmHg；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29.支持双通道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有创压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IBP监测，支持升级多达8通道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有创压监测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30.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有创压适用于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成人，小儿和新生儿，测量范围：-50—370mmHg；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31.支持升级每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搏压力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变异PPV实时显示，测量范围：0%～50%；分辨率：1% 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32.▲支持升级收缩压力变异SPV实时显示；（提供产品检验报告或产品说明书证明）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33.支持升级肺动脉楔压PAWP；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34.支持升级主流、旁流EtCO2监测模块，适用于成人至新生儿全年龄段病人，旁流采样率：≤50ml/min，旁流二氧化碳监测无需积水杯，采用自动排水管，减少感染风险；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35.支持升级麻醉气体AG监测模块，监测CO2/O2/N2O/AA（吸入麻醉药）的波形和数值显示、呼吸频率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awRR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、MAC值，适用于成人至新生儿全年龄段病人；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a）旁流采样率：≤50ml/min，采样流速控制精度：±10ml/min；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b）旁流每8小时自动校零；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c）支持主流AG监测，主流出厂后无需校准；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36.支持升级麻醉气体顺磁氧模块监测；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37.支持升级ICG模块，进行血流动力学参数监测，可无创监测患者连续心排量；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38.支持升级有创心输出量C.O监测模块，采用金标准热稀释法测量；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39.支持升级麻醉深度BIS监测模块，提供脑电波形显示，BIS指数（0至100）EMG（肌电信号）SQI（信号质量指数）SR（抑制比）SEF（频谱边缘频率）TP（总功率）等参数；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40.支持升级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Sedline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麻醉深度模块测量，或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Sedline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单机，可显示PSI患者状态指数和四通道EEG脑电信息；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41.支持升级NMT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肌松模块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监测，提供TOF模式、PTC模式、ST模式、DBS模式；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42.▲本机支持升级新生儿窒息唤醒功能，而非单机；（提供医疗器械注册证证明）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43.▲本机支持升级氧浓度监测功能，而非单机；（提供医疗器械注册证证明）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44.支持升级RM呼吸力学模块监测，提供≥19项呼吸力学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参数参数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45.▲本机支持升级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SpHb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总血红蛋白浓度监测，而非单机；（提供医疗器械注册证证明）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46.▲本机支持升级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SpMet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高铁血红蛋白饱和度监测，而非单机；（提供医疗器械注册证证明）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47.▲本机支持升级</w:t>
            </w:r>
            <w:proofErr w:type="spell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SpCO</w:t>
            </w:r>
            <w:proofErr w:type="spell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碳氧血红蛋白饱和度监测，而非单机；（提供医疗器械注册证证明）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48.支持升级O3区域组织氧饱和模块监测，提供rSO2数值；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49.支持升级设备集成功能模块，可与主流品牌的呼吸机、输注泵、麻醉机产品相连，实现呼吸机、输注泵、麻醉机设备的信息在监护仪上显示、存储、记录、打印或者用于参与计算；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50.支持升级脓毒症筛查工具、格拉斯哥昏迷评分系统（GCS）、早期预警评分功能（EWS））、起搏分析（Pace view）、房颤概览等软件功能；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51.支持升级麻醉平衡指引显示，能显示麻醉状态下的信息，包括术前诱导界面、术中维持界面、术后复苏界面，能反映病人生理体征参数的动态趋势；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52.支持升级输注视图功能，能显示输注视图信息，包括本监护仪的生命体征参数的动态趋势、输</w:t>
            </w:r>
            <w:proofErr w:type="gramStart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注设备</w:t>
            </w:r>
            <w:proofErr w:type="gramEnd"/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的用药种类以及流速的变化；</w:t>
            </w:r>
          </w:p>
          <w:p w:rsidR="00EE29A1" w:rsidRPr="00EE29A1" w:rsidRDefault="00EE29A1" w:rsidP="00EE29A1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53.支持升级CPR抢救模式，能显示开始抢救、结束抢救和抢救过程的时间信息和文本信息，并能快速录入抢救过程中所使用药物的名称和剂量、列出抢救过程中的操作步骤事件；</w:t>
            </w:r>
          </w:p>
          <w:p w:rsidR="005E2A22" w:rsidRDefault="00EE29A1" w:rsidP="00EE29A1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EE29A1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54.具备药物计算、肾功能计算、氧合计算、通气计算、血流动力学计算和滴定表功能。</w:t>
            </w:r>
          </w:p>
          <w:p w:rsidR="005E2A22" w:rsidRDefault="007927C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插件模块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电极片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包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心电导联线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血压导管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血压袖套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血氧探头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中文说明书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ab/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本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中文快速操作指南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根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保修卡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仪器验收单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份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客服标贴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张</w:t>
                  </w:r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双有创血压模块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</w:rPr>
                    <w:t>呼末二氧化碳模块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个</w:t>
                  </w:r>
                  <w:proofErr w:type="gramEnd"/>
                </w:p>
              </w:tc>
            </w:tr>
            <w:tr w:rsidR="000732C4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pStyle w:val="ab"/>
                    <w:widowControl/>
                    <w:numPr>
                      <w:ilvl w:val="0"/>
                      <w:numId w:val="2"/>
                    </w:numPr>
                    <w:spacing w:line="360" w:lineRule="exact"/>
                    <w:ind w:firstLineChars="0"/>
                    <w:jc w:val="righ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PICCO</w:t>
                  </w:r>
                  <w:r>
                    <w:rPr>
                      <w:rFonts w:ascii="宋体" w:eastAsia="宋体" w:hAnsi="宋体" w:hint="eastAsia"/>
                      <w:sz w:val="24"/>
                    </w:rPr>
                    <w:t>模块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r w:rsidRPr="000732C4">
                    <w:rPr>
                      <w:rFonts w:ascii="宋体" w:eastAsia="宋体" w:hAnsi="宋体" w:cs="宋体" w:hint="eastAsia"/>
                      <w:bCs/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0732C4" w:rsidRPr="000732C4" w:rsidRDefault="000732C4" w:rsidP="000732C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</w:pPr>
                  <w:bookmarkStart w:id="0" w:name="_GoBack"/>
                  <w:proofErr w:type="gramStart"/>
                  <w:r w:rsidRPr="000732C4">
                    <w:rPr>
                      <w:rFonts w:ascii="宋体" w:eastAsia="宋体" w:hAnsi="宋体" w:cs="宋体"/>
                      <w:bCs/>
                      <w:color w:val="000000"/>
                      <w:sz w:val="24"/>
                    </w:rPr>
                    <w:t>个</w:t>
                  </w:r>
                  <w:bookmarkEnd w:id="0"/>
                  <w:proofErr w:type="gramEnd"/>
                </w:p>
              </w:tc>
            </w:tr>
          </w:tbl>
          <w:p w:rsidR="005E2A22" w:rsidRDefault="000732C4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5E2A22" w:rsidRDefault="005E2A22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5E2A2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7C5" w:rsidRDefault="007927C5"/>
  </w:endnote>
  <w:endnote w:type="continuationSeparator" w:id="0">
    <w:p w:rsidR="007927C5" w:rsidRDefault="007927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5E2A22" w:rsidRDefault="007927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2C4" w:rsidRPr="000732C4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7C5" w:rsidRDefault="007927C5"/>
  </w:footnote>
  <w:footnote w:type="continuationSeparator" w:id="0">
    <w:p w:rsidR="007927C5" w:rsidRDefault="007927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A22" w:rsidRDefault="005E2A22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652A3F9A"/>
    <w:multiLevelType w:val="hybridMultilevel"/>
    <w:tmpl w:val="50FE8CC0"/>
    <w:lvl w:ilvl="0" w:tplc="5EE0245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732C4"/>
    <w:rsid w:val="000D61A4"/>
    <w:rsid w:val="000F5586"/>
    <w:rsid w:val="00126E0A"/>
    <w:rsid w:val="0014031F"/>
    <w:rsid w:val="0016138F"/>
    <w:rsid w:val="00281C9D"/>
    <w:rsid w:val="002E3B36"/>
    <w:rsid w:val="004A5A04"/>
    <w:rsid w:val="005E2A22"/>
    <w:rsid w:val="00720886"/>
    <w:rsid w:val="00765B6E"/>
    <w:rsid w:val="007927C5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EE29A1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526899-C2D2-4B6B-8213-EF5275D4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